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5A0F" w14:textId="77777777" w:rsidR="002B63D5" w:rsidRDefault="002B63D5" w:rsidP="002B63D5">
      <w:pPr>
        <w:jc w:val="both"/>
        <w:rPr>
          <w:b/>
          <w:bCs/>
          <w:lang w:val="en-US"/>
        </w:rPr>
      </w:pPr>
      <w:bookmarkStart w:id="0" w:name="_GoBack"/>
      <w:bookmarkEnd w:id="0"/>
      <w:r>
        <w:rPr>
          <w:b/>
          <w:bCs/>
          <w:lang w:val="en-US"/>
        </w:rPr>
        <w:t xml:space="preserve">Annex 1 – IATI Data Research Competition Guidelines </w:t>
      </w:r>
    </w:p>
    <w:p w14:paraId="5003D793" w14:textId="77777777" w:rsidR="002B63D5" w:rsidRDefault="002B63D5" w:rsidP="002B63D5">
      <w:pPr>
        <w:jc w:val="both"/>
        <w:rPr>
          <w:b/>
          <w:bCs/>
          <w:lang w:val="en-US"/>
        </w:rPr>
      </w:pPr>
    </w:p>
    <w:p w14:paraId="3E721258" w14:textId="77777777" w:rsidR="002B63D5" w:rsidRDefault="002B63D5" w:rsidP="002B63D5">
      <w:pPr>
        <w:jc w:val="both"/>
        <w:rPr>
          <w:b/>
          <w:bCs/>
          <w:lang w:val="en-US"/>
        </w:rPr>
      </w:pPr>
      <w:r>
        <w:rPr>
          <w:b/>
          <w:bCs/>
          <w:lang w:val="en-US"/>
        </w:rPr>
        <w:t xml:space="preserve">Eligibility </w:t>
      </w:r>
    </w:p>
    <w:p w14:paraId="3936A20B" w14:textId="77777777" w:rsidR="002B63D5" w:rsidRPr="00AB4B9B" w:rsidRDefault="002B63D5" w:rsidP="002B63D5">
      <w:pPr>
        <w:jc w:val="both"/>
        <w:rPr>
          <w:lang w:val="en-US"/>
        </w:rPr>
      </w:pPr>
      <w:r>
        <w:rPr>
          <w:lang w:val="en-US"/>
        </w:rPr>
        <w:t xml:space="preserve">All young journalists from across the globe who are between 15 and 25 years of age at the time of submission and have some form of affiliation with journalism, e.g. participate in journalist classes or working groups in school or college (age 15 – 18); are invited to participate. They can be enrolled in journalism studies at an academic institution or employed as journalists in media houses or others. Freelance journalist must prove prior engagement as journalists through references such as published articles, blogposts, or others. </w:t>
      </w:r>
    </w:p>
    <w:p w14:paraId="7FF3654C" w14:textId="77777777" w:rsidR="002B63D5" w:rsidRDefault="002B63D5" w:rsidP="002B63D5">
      <w:pPr>
        <w:jc w:val="both"/>
        <w:rPr>
          <w:b/>
          <w:bCs/>
          <w:lang w:val="en-US"/>
        </w:rPr>
      </w:pPr>
    </w:p>
    <w:p w14:paraId="378204A1" w14:textId="77777777" w:rsidR="002B63D5" w:rsidRDefault="002B63D5" w:rsidP="002B63D5">
      <w:pPr>
        <w:jc w:val="both"/>
        <w:rPr>
          <w:b/>
          <w:bCs/>
          <w:lang w:val="en-US"/>
        </w:rPr>
      </w:pPr>
      <w:r>
        <w:rPr>
          <w:b/>
          <w:bCs/>
          <w:lang w:val="en-US"/>
        </w:rPr>
        <w:t xml:space="preserve">Format and Style </w:t>
      </w:r>
    </w:p>
    <w:p w14:paraId="11F85D3F" w14:textId="77777777" w:rsidR="002B63D5" w:rsidRPr="00AE7B22" w:rsidRDefault="002B63D5" w:rsidP="002B63D5">
      <w:pPr>
        <w:jc w:val="both"/>
        <w:rPr>
          <w:lang w:val="en-US"/>
        </w:rPr>
      </w:pPr>
      <w:r w:rsidRPr="00AE7B22">
        <w:rPr>
          <w:lang w:val="en-US"/>
        </w:rPr>
        <w:t xml:space="preserve">The article must be written in English </w:t>
      </w:r>
      <w:r>
        <w:rPr>
          <w:lang w:val="en-US"/>
        </w:rPr>
        <w:t xml:space="preserve">and submitted as a word document. Participants are encouraged to submit an article that has between 700 – 1000 words. Articles that exceed 1000 words by more than 20 % will be disqualified. All data sources of the essays must be referenced, and plagiarism will result in immediate disqualification. Participants are encouraged to use additional data sources and information next to IATI data for cross-checking purposes. </w:t>
      </w:r>
    </w:p>
    <w:p w14:paraId="001DFBAE" w14:textId="77777777" w:rsidR="002B63D5" w:rsidRDefault="002B63D5" w:rsidP="002B63D5">
      <w:pPr>
        <w:jc w:val="both"/>
        <w:rPr>
          <w:b/>
          <w:bCs/>
          <w:lang w:val="en-US"/>
        </w:rPr>
      </w:pPr>
    </w:p>
    <w:p w14:paraId="194CE1C2" w14:textId="77777777" w:rsidR="002B63D5" w:rsidRDefault="002B63D5" w:rsidP="002B63D5">
      <w:pPr>
        <w:jc w:val="both"/>
        <w:rPr>
          <w:b/>
          <w:bCs/>
          <w:lang w:val="en-US"/>
        </w:rPr>
      </w:pPr>
      <w:r>
        <w:rPr>
          <w:b/>
          <w:bCs/>
          <w:lang w:val="en-US"/>
        </w:rPr>
        <w:t xml:space="preserve">Rating Criteria </w:t>
      </w:r>
    </w:p>
    <w:p w14:paraId="357D9503" w14:textId="77777777" w:rsidR="002B63D5" w:rsidRDefault="002B63D5" w:rsidP="002B63D5">
      <w:pPr>
        <w:jc w:val="both"/>
        <w:rPr>
          <w:lang w:val="en-US"/>
        </w:rPr>
      </w:pPr>
      <w:r w:rsidRPr="00A45317">
        <w:rPr>
          <w:lang w:val="en-US"/>
        </w:rPr>
        <w:t>The essays will be review</w:t>
      </w:r>
      <w:r>
        <w:rPr>
          <w:lang w:val="en-US"/>
        </w:rPr>
        <w:t>ed</w:t>
      </w:r>
      <w:r w:rsidRPr="00A45317">
        <w:rPr>
          <w:lang w:val="en-US"/>
        </w:rPr>
        <w:t xml:space="preserve"> and rated according to the following </w:t>
      </w:r>
      <w:r>
        <w:rPr>
          <w:lang w:val="en-US"/>
        </w:rPr>
        <w:t>table</w:t>
      </w:r>
      <w:r w:rsidRPr="00A45317">
        <w:rPr>
          <w:lang w:val="en-US"/>
        </w:rPr>
        <w:t xml:space="preserve">: </w:t>
      </w:r>
    </w:p>
    <w:p w14:paraId="2DCA6B84" w14:textId="77777777" w:rsidR="002B63D5" w:rsidRPr="00A45317" w:rsidRDefault="002B63D5" w:rsidP="002B63D5">
      <w:pPr>
        <w:jc w:val="both"/>
        <w:rPr>
          <w:lang w:val="en-US"/>
        </w:rPr>
      </w:pPr>
    </w:p>
    <w:tbl>
      <w:tblPr>
        <w:tblStyle w:val="TableGrid"/>
        <w:tblW w:w="0" w:type="auto"/>
        <w:tblLook w:val="04A0" w:firstRow="1" w:lastRow="0" w:firstColumn="1" w:lastColumn="0" w:noHBand="0" w:noVBand="1"/>
      </w:tblPr>
      <w:tblGrid>
        <w:gridCol w:w="7225"/>
        <w:gridCol w:w="2171"/>
      </w:tblGrid>
      <w:tr w:rsidR="002B63D5" w14:paraId="3561D12F" w14:textId="77777777" w:rsidTr="002F08E0">
        <w:tc>
          <w:tcPr>
            <w:tcW w:w="7225" w:type="dxa"/>
          </w:tcPr>
          <w:p w14:paraId="498B6152" w14:textId="77777777" w:rsidR="002B63D5" w:rsidRDefault="002B63D5" w:rsidP="002F08E0">
            <w:pPr>
              <w:jc w:val="both"/>
              <w:rPr>
                <w:b/>
                <w:bCs/>
                <w:lang w:val="en-US"/>
              </w:rPr>
            </w:pPr>
            <w:r>
              <w:rPr>
                <w:b/>
                <w:bCs/>
                <w:lang w:val="en-US"/>
              </w:rPr>
              <w:t xml:space="preserve">Criteria </w:t>
            </w:r>
          </w:p>
        </w:tc>
        <w:tc>
          <w:tcPr>
            <w:tcW w:w="2171" w:type="dxa"/>
          </w:tcPr>
          <w:p w14:paraId="032173BD" w14:textId="77777777" w:rsidR="002B63D5" w:rsidRDefault="002B63D5" w:rsidP="002F08E0">
            <w:pPr>
              <w:jc w:val="both"/>
              <w:rPr>
                <w:b/>
                <w:bCs/>
                <w:lang w:val="en-US"/>
              </w:rPr>
            </w:pPr>
            <w:r>
              <w:rPr>
                <w:b/>
                <w:bCs/>
                <w:lang w:val="en-US"/>
              </w:rPr>
              <w:t>Maximum points</w:t>
            </w:r>
          </w:p>
        </w:tc>
      </w:tr>
      <w:tr w:rsidR="002B63D5" w14:paraId="36BDF888" w14:textId="77777777" w:rsidTr="002F08E0">
        <w:tc>
          <w:tcPr>
            <w:tcW w:w="7225" w:type="dxa"/>
          </w:tcPr>
          <w:p w14:paraId="04A2C269" w14:textId="77777777" w:rsidR="002B63D5" w:rsidRPr="00B5086B" w:rsidRDefault="002B63D5" w:rsidP="002F08E0">
            <w:pPr>
              <w:pStyle w:val="ListParagraph"/>
              <w:numPr>
                <w:ilvl w:val="0"/>
                <w:numId w:val="2"/>
              </w:numPr>
              <w:jc w:val="both"/>
              <w:rPr>
                <w:lang w:val="en-US"/>
              </w:rPr>
            </w:pPr>
            <w:r>
              <w:rPr>
                <w:lang w:val="en-US"/>
              </w:rPr>
              <w:t xml:space="preserve">Quality of narrative and </w:t>
            </w:r>
            <w:r w:rsidRPr="00B5086B">
              <w:rPr>
                <w:lang w:val="en-US"/>
              </w:rPr>
              <w:t>storyline</w:t>
            </w:r>
            <w:r>
              <w:rPr>
                <w:lang w:val="en-US"/>
              </w:rPr>
              <w:t>, public interest of the topic, relevance for progress towards SDGs</w:t>
            </w:r>
            <w:r w:rsidRPr="00B5086B">
              <w:rPr>
                <w:lang w:val="en-US"/>
              </w:rPr>
              <w:t xml:space="preserve"> </w:t>
            </w:r>
          </w:p>
        </w:tc>
        <w:tc>
          <w:tcPr>
            <w:tcW w:w="2171" w:type="dxa"/>
          </w:tcPr>
          <w:p w14:paraId="7308E173" w14:textId="77777777" w:rsidR="002B63D5" w:rsidRPr="00B5086B" w:rsidRDefault="002B63D5" w:rsidP="002F08E0">
            <w:pPr>
              <w:jc w:val="both"/>
              <w:rPr>
                <w:lang w:val="en-US"/>
              </w:rPr>
            </w:pPr>
            <w:r w:rsidRPr="00B5086B">
              <w:rPr>
                <w:lang w:val="en-US"/>
              </w:rPr>
              <w:t>20 points</w:t>
            </w:r>
          </w:p>
        </w:tc>
      </w:tr>
      <w:tr w:rsidR="002B63D5" w14:paraId="27C4B92E" w14:textId="77777777" w:rsidTr="002F08E0">
        <w:tc>
          <w:tcPr>
            <w:tcW w:w="7225" w:type="dxa"/>
          </w:tcPr>
          <w:p w14:paraId="30F447B5" w14:textId="77777777" w:rsidR="002B63D5" w:rsidRPr="00B5086B" w:rsidRDefault="002B63D5" w:rsidP="002F08E0">
            <w:pPr>
              <w:pStyle w:val="ListParagraph"/>
              <w:numPr>
                <w:ilvl w:val="0"/>
                <w:numId w:val="1"/>
              </w:numPr>
              <w:rPr>
                <w:lang w:val="en-US"/>
              </w:rPr>
            </w:pPr>
            <w:r w:rsidRPr="00B5086B">
              <w:rPr>
                <w:lang w:val="en-US"/>
              </w:rPr>
              <w:t xml:space="preserve">Use of IATI data </w:t>
            </w:r>
            <w:r>
              <w:rPr>
                <w:lang w:val="en-US"/>
              </w:rPr>
              <w:t xml:space="preserve">or data originally requested from authorities using national ATI law </w:t>
            </w:r>
            <w:r w:rsidRPr="00B5086B">
              <w:rPr>
                <w:lang w:val="en-US"/>
              </w:rPr>
              <w:t>as one of the main sources for the argument provided</w:t>
            </w:r>
          </w:p>
        </w:tc>
        <w:tc>
          <w:tcPr>
            <w:tcW w:w="2171" w:type="dxa"/>
          </w:tcPr>
          <w:p w14:paraId="266FBD7A" w14:textId="77777777" w:rsidR="002B63D5" w:rsidRPr="00B5086B" w:rsidRDefault="002B63D5" w:rsidP="002F08E0">
            <w:pPr>
              <w:jc w:val="both"/>
              <w:rPr>
                <w:lang w:val="en-US"/>
              </w:rPr>
            </w:pPr>
            <w:r w:rsidRPr="00B5086B">
              <w:rPr>
                <w:lang w:val="en-US"/>
              </w:rPr>
              <w:t>30 points</w:t>
            </w:r>
          </w:p>
        </w:tc>
      </w:tr>
      <w:tr w:rsidR="002B63D5" w14:paraId="22FD0ABD" w14:textId="77777777" w:rsidTr="002F08E0">
        <w:tc>
          <w:tcPr>
            <w:tcW w:w="7225" w:type="dxa"/>
          </w:tcPr>
          <w:p w14:paraId="4100D49B" w14:textId="77777777" w:rsidR="002B63D5" w:rsidRPr="00B5086B" w:rsidRDefault="002B63D5" w:rsidP="002F08E0">
            <w:pPr>
              <w:pStyle w:val="ListParagraph"/>
              <w:numPr>
                <w:ilvl w:val="0"/>
                <w:numId w:val="1"/>
              </w:numPr>
              <w:jc w:val="both"/>
              <w:rPr>
                <w:lang w:val="en-US"/>
              </w:rPr>
            </w:pPr>
            <w:r>
              <w:rPr>
                <w:lang w:val="en-US"/>
              </w:rPr>
              <w:t xml:space="preserve">Word count of 700 – 1000 words </w:t>
            </w:r>
          </w:p>
        </w:tc>
        <w:tc>
          <w:tcPr>
            <w:tcW w:w="2171" w:type="dxa"/>
          </w:tcPr>
          <w:p w14:paraId="57E90F4E" w14:textId="77777777" w:rsidR="002B63D5" w:rsidRPr="00B5086B" w:rsidRDefault="002B63D5" w:rsidP="002F08E0">
            <w:pPr>
              <w:jc w:val="both"/>
              <w:rPr>
                <w:lang w:val="en-US"/>
              </w:rPr>
            </w:pPr>
            <w:r>
              <w:rPr>
                <w:lang w:val="en-US"/>
              </w:rPr>
              <w:t>10 points</w:t>
            </w:r>
          </w:p>
        </w:tc>
      </w:tr>
      <w:tr w:rsidR="002B63D5" w14:paraId="47F50A2E" w14:textId="77777777" w:rsidTr="002F08E0">
        <w:tc>
          <w:tcPr>
            <w:tcW w:w="7225" w:type="dxa"/>
          </w:tcPr>
          <w:p w14:paraId="6091C19C" w14:textId="77777777" w:rsidR="002B63D5" w:rsidRPr="00B5086B" w:rsidRDefault="002B63D5" w:rsidP="002F08E0">
            <w:pPr>
              <w:pStyle w:val="ListParagraph"/>
              <w:numPr>
                <w:ilvl w:val="0"/>
                <w:numId w:val="1"/>
              </w:numPr>
              <w:jc w:val="both"/>
              <w:rPr>
                <w:lang w:val="en-US"/>
              </w:rPr>
            </w:pPr>
            <w:r w:rsidRPr="00B5086B">
              <w:rPr>
                <w:lang w:val="en-US"/>
              </w:rPr>
              <w:t>Use of English language</w:t>
            </w:r>
          </w:p>
        </w:tc>
        <w:tc>
          <w:tcPr>
            <w:tcW w:w="2171" w:type="dxa"/>
          </w:tcPr>
          <w:p w14:paraId="52BD6C6A" w14:textId="77777777" w:rsidR="002B63D5" w:rsidRPr="00B5086B" w:rsidRDefault="002B63D5" w:rsidP="002F08E0">
            <w:pPr>
              <w:jc w:val="both"/>
              <w:rPr>
                <w:lang w:val="en-US"/>
              </w:rPr>
            </w:pPr>
            <w:r w:rsidRPr="00B5086B">
              <w:rPr>
                <w:lang w:val="en-US"/>
              </w:rPr>
              <w:t>10 points</w:t>
            </w:r>
          </w:p>
        </w:tc>
      </w:tr>
    </w:tbl>
    <w:p w14:paraId="1E94613A" w14:textId="77777777" w:rsidR="002B63D5" w:rsidRDefault="002B63D5" w:rsidP="002B63D5">
      <w:pPr>
        <w:jc w:val="both"/>
        <w:rPr>
          <w:b/>
          <w:bCs/>
          <w:lang w:val="en-US"/>
        </w:rPr>
      </w:pPr>
    </w:p>
    <w:p w14:paraId="3D62B1BB" w14:textId="77777777" w:rsidR="002B63D5" w:rsidRDefault="002B63D5" w:rsidP="002B63D5">
      <w:pPr>
        <w:jc w:val="both"/>
        <w:rPr>
          <w:b/>
          <w:bCs/>
          <w:lang w:val="en-US"/>
        </w:rPr>
      </w:pPr>
      <w:r>
        <w:rPr>
          <w:b/>
          <w:bCs/>
          <w:lang w:val="en-US"/>
        </w:rPr>
        <w:t>Submission:</w:t>
      </w:r>
    </w:p>
    <w:p w14:paraId="0E492D9A" w14:textId="3A1D6DD7" w:rsidR="002B63D5" w:rsidRPr="00724170" w:rsidRDefault="002B63D5" w:rsidP="002B63D5">
      <w:pPr>
        <w:jc w:val="both"/>
        <w:rPr>
          <w:b/>
          <w:bCs/>
          <w:lang w:val="en-US"/>
        </w:rPr>
      </w:pPr>
      <w:r>
        <w:rPr>
          <w:lang w:val="en-US"/>
        </w:rPr>
        <w:t xml:space="preserve">Essays can be submitted at </w:t>
      </w:r>
      <w:hyperlink r:id="rId7" w:history="1">
        <w:r w:rsidRPr="001C635B">
          <w:rPr>
            <w:rStyle w:val="Hyperlink"/>
            <w:lang w:val="en-US"/>
          </w:rPr>
          <w:t>iati-challenge@undp.org</w:t>
        </w:r>
      </w:hyperlink>
      <w:r>
        <w:rPr>
          <w:lang w:val="en-US"/>
        </w:rPr>
        <w:t xml:space="preserve"> in the period 28 September to 20 December 2018. Winners will be announced after the selection committee has reviewed all the essays, a date for the award ceremony will be announced after the deadline.  </w:t>
      </w:r>
      <w:r>
        <w:rPr>
          <w:b/>
          <w:bCs/>
          <w:lang w:val="en-US"/>
        </w:rPr>
        <w:t xml:space="preserve">  </w:t>
      </w:r>
    </w:p>
    <w:p w14:paraId="1B5FFEFD" w14:textId="77777777" w:rsidR="00C04776" w:rsidRPr="002B63D5" w:rsidRDefault="001632A4">
      <w:pPr>
        <w:rPr>
          <w:lang w:val="en-US"/>
        </w:rPr>
      </w:pPr>
    </w:p>
    <w:sectPr w:rsidR="00C04776" w:rsidRPr="002B63D5" w:rsidSect="00ED2832">
      <w:headerReference w:type="default" r:id="rId8"/>
      <w:footerReference w:type="even" r:id="rId9"/>
      <w:footerReference w:type="default" r:id="rId10"/>
      <w:pgSz w:w="12240" w:h="15840"/>
      <w:pgMar w:top="553" w:right="1417" w:bottom="1134" w:left="1417"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6E68" w14:textId="77777777" w:rsidR="00000000" w:rsidRDefault="001632A4">
      <w:r>
        <w:separator/>
      </w:r>
    </w:p>
  </w:endnote>
  <w:endnote w:type="continuationSeparator" w:id="0">
    <w:p w14:paraId="37095ABB" w14:textId="77777777" w:rsidR="00000000" w:rsidRDefault="0016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789413"/>
      <w:docPartObj>
        <w:docPartGallery w:val="Page Numbers (Bottom of Page)"/>
        <w:docPartUnique/>
      </w:docPartObj>
    </w:sdtPr>
    <w:sdtEndPr>
      <w:rPr>
        <w:rStyle w:val="PageNumber"/>
      </w:rPr>
    </w:sdtEndPr>
    <w:sdtContent>
      <w:p w14:paraId="1C0F3DB3" w14:textId="77777777" w:rsidR="00794085" w:rsidRDefault="002B63D5" w:rsidP="00C33E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EC769" w14:textId="77777777" w:rsidR="00794085" w:rsidRDefault="001632A4" w:rsidP="00794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22466"/>
      <w:docPartObj>
        <w:docPartGallery w:val="Page Numbers (Bottom of Page)"/>
        <w:docPartUnique/>
      </w:docPartObj>
    </w:sdtPr>
    <w:sdtEndPr>
      <w:rPr>
        <w:rStyle w:val="PageNumber"/>
      </w:rPr>
    </w:sdtEndPr>
    <w:sdtContent>
      <w:p w14:paraId="5A1B8947" w14:textId="77777777" w:rsidR="00C33EEA" w:rsidRDefault="002B63D5" w:rsidP="00E125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D6E61CD" w14:textId="77777777" w:rsidR="00102C40" w:rsidRPr="00102C40" w:rsidRDefault="001632A4" w:rsidP="00C33EEA">
    <w:pPr>
      <w:autoSpaceDE w:val="0"/>
      <w:autoSpaceDN w:val="0"/>
      <w:adjustRightInd w:val="0"/>
      <w:spacing w:after="266" w:line="337" w:lineRule="atLeast"/>
      <w:ind w:right="360"/>
      <w:rPr>
        <w:rFonts w:ascii="Calibri" w:hAnsi="Calibri" w:cs="Calibri"/>
        <w:color w:val="000000" w:themeColor="text1"/>
        <w:sz w:val="20"/>
        <w:szCs w:val="20"/>
        <w:lang w:val="en-US"/>
      </w:rPr>
    </w:pPr>
  </w:p>
  <w:p w14:paraId="3EAADCB9" w14:textId="77777777" w:rsidR="00102C40" w:rsidRPr="00102C40" w:rsidRDefault="001632A4">
    <w:pPr>
      <w:pStyle w:val="Footer"/>
      <w:rPr>
        <w:lang w:val="en-US"/>
      </w:rPr>
    </w:pPr>
  </w:p>
  <w:p w14:paraId="3BE28ABC" w14:textId="77777777" w:rsidR="00794085" w:rsidRPr="00102C40" w:rsidRDefault="001632A4" w:rsidP="00794085">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84AA" w14:textId="77777777" w:rsidR="00000000" w:rsidRDefault="001632A4">
      <w:r>
        <w:separator/>
      </w:r>
    </w:p>
  </w:footnote>
  <w:footnote w:type="continuationSeparator" w:id="0">
    <w:p w14:paraId="51E9E162" w14:textId="77777777" w:rsidR="00000000" w:rsidRDefault="0016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182E" w14:textId="77777777" w:rsidR="00A53126" w:rsidRDefault="002B63D5" w:rsidP="00A53126">
    <w:pPr>
      <w:pStyle w:val="Header"/>
      <w:ind w:hanging="142"/>
    </w:pPr>
    <w:r w:rsidRPr="00A5312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81F20"/>
    <w:multiLevelType w:val="hybridMultilevel"/>
    <w:tmpl w:val="61F8F9F0"/>
    <w:lvl w:ilvl="0" w:tplc="D6DAE216">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56DE6"/>
    <w:multiLevelType w:val="hybridMultilevel"/>
    <w:tmpl w:val="88360434"/>
    <w:lvl w:ilvl="0" w:tplc="D6DAE216">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D5"/>
    <w:rsid w:val="000109CD"/>
    <w:rsid w:val="001632A4"/>
    <w:rsid w:val="00231A73"/>
    <w:rsid w:val="00240D09"/>
    <w:rsid w:val="002B63D5"/>
    <w:rsid w:val="008127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7DFD"/>
  <w15:chartTrackingRefBased/>
  <w15:docId w15:val="{EA26BB31-10CE-2342-BF9C-54682A85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3D5"/>
    <w:pPr>
      <w:tabs>
        <w:tab w:val="center" w:pos="4536"/>
        <w:tab w:val="right" w:pos="9072"/>
      </w:tabs>
    </w:pPr>
  </w:style>
  <w:style w:type="character" w:customStyle="1" w:styleId="HeaderChar">
    <w:name w:val="Header Char"/>
    <w:basedOn w:val="DefaultParagraphFont"/>
    <w:link w:val="Header"/>
    <w:uiPriority w:val="99"/>
    <w:rsid w:val="002B63D5"/>
  </w:style>
  <w:style w:type="paragraph" w:styleId="Footer">
    <w:name w:val="footer"/>
    <w:basedOn w:val="Normal"/>
    <w:link w:val="FooterChar"/>
    <w:uiPriority w:val="99"/>
    <w:unhideWhenUsed/>
    <w:rsid w:val="002B63D5"/>
    <w:pPr>
      <w:tabs>
        <w:tab w:val="center" w:pos="4536"/>
        <w:tab w:val="right" w:pos="9072"/>
      </w:tabs>
    </w:pPr>
  </w:style>
  <w:style w:type="character" w:customStyle="1" w:styleId="FooterChar">
    <w:name w:val="Footer Char"/>
    <w:basedOn w:val="DefaultParagraphFont"/>
    <w:link w:val="Footer"/>
    <w:uiPriority w:val="99"/>
    <w:rsid w:val="002B63D5"/>
  </w:style>
  <w:style w:type="character" w:styleId="PageNumber">
    <w:name w:val="page number"/>
    <w:basedOn w:val="DefaultParagraphFont"/>
    <w:uiPriority w:val="99"/>
    <w:semiHidden/>
    <w:unhideWhenUsed/>
    <w:rsid w:val="002B63D5"/>
  </w:style>
  <w:style w:type="paragraph" w:styleId="ListParagraph">
    <w:name w:val="List Paragraph"/>
    <w:basedOn w:val="Normal"/>
    <w:uiPriority w:val="34"/>
    <w:qFormat/>
    <w:rsid w:val="002B63D5"/>
    <w:pPr>
      <w:ind w:left="720"/>
      <w:contextualSpacing/>
    </w:pPr>
  </w:style>
  <w:style w:type="table" w:styleId="TableGrid">
    <w:name w:val="Table Grid"/>
    <w:basedOn w:val="TableNormal"/>
    <w:uiPriority w:val="39"/>
    <w:rsid w:val="002B6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3D5"/>
    <w:rPr>
      <w:color w:val="0563C1" w:themeColor="hyperlink"/>
      <w:u w:val="single"/>
    </w:rPr>
  </w:style>
  <w:style w:type="character" w:styleId="UnresolvedMention">
    <w:name w:val="Unresolved Mention"/>
    <w:basedOn w:val="DefaultParagraphFont"/>
    <w:uiPriority w:val="99"/>
    <w:semiHidden/>
    <w:unhideWhenUsed/>
    <w:rsid w:val="002B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ti-challenge@und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Zoric</dc:creator>
  <cp:keywords/>
  <dc:description/>
  <cp:lastModifiedBy>Rohini Simbodyal</cp:lastModifiedBy>
  <cp:revision>2</cp:revision>
  <dcterms:created xsi:type="dcterms:W3CDTF">2018-09-26T22:47:00Z</dcterms:created>
  <dcterms:modified xsi:type="dcterms:W3CDTF">2018-09-26T22:47:00Z</dcterms:modified>
</cp:coreProperties>
</file>